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0" w:rsidRPr="00D33130" w:rsidRDefault="004377F3" w:rsidP="00D3313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Obec Osečnice</w:t>
      </w:r>
    </w:p>
    <w:p w:rsidR="00D33130" w:rsidRPr="00D33130" w:rsidRDefault="004377F3" w:rsidP="00CA53D8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Zastupitelstvo obce</w:t>
      </w:r>
    </w:p>
    <w:p w:rsidR="00D33130" w:rsidRPr="00D33130" w:rsidRDefault="00D33130" w:rsidP="00CA53D8">
      <w:pPr>
        <w:jc w:val="center"/>
        <w:rPr>
          <w:rFonts w:cs="Arial"/>
          <w:b/>
          <w:sz w:val="24"/>
        </w:rPr>
      </w:pPr>
    </w:p>
    <w:p w:rsidR="00D33130" w:rsidRPr="00D33130" w:rsidRDefault="00D33130" w:rsidP="00D33130">
      <w:pPr>
        <w:jc w:val="center"/>
        <w:rPr>
          <w:rFonts w:cs="Arial"/>
          <w:b/>
          <w:sz w:val="24"/>
        </w:rPr>
      </w:pPr>
      <w:r w:rsidRPr="00D33130">
        <w:rPr>
          <w:rFonts w:cs="Arial"/>
          <w:b/>
          <w:sz w:val="24"/>
        </w:rPr>
        <w:t>Obecně závazná vyhláška</w:t>
      </w:r>
    </w:p>
    <w:p w:rsidR="00D33130" w:rsidRDefault="00D33130" w:rsidP="00D33130">
      <w:pPr>
        <w:jc w:val="center"/>
        <w:rPr>
          <w:rFonts w:cs="Arial"/>
          <w:b/>
          <w:sz w:val="24"/>
        </w:rPr>
      </w:pPr>
      <w:r w:rsidRPr="00D33130">
        <w:rPr>
          <w:rFonts w:cs="Arial"/>
          <w:b/>
          <w:sz w:val="24"/>
        </w:rPr>
        <w:t xml:space="preserve">č. </w:t>
      </w:r>
      <w:r w:rsidR="004377F3">
        <w:rPr>
          <w:rFonts w:cs="Arial"/>
          <w:b/>
          <w:sz w:val="24"/>
        </w:rPr>
        <w:t>2</w:t>
      </w:r>
      <w:r w:rsidRPr="00D33130">
        <w:rPr>
          <w:rFonts w:cs="Arial"/>
          <w:b/>
          <w:sz w:val="24"/>
        </w:rPr>
        <w:t>/2019,</w:t>
      </w:r>
    </w:p>
    <w:p w:rsidR="00BB3536" w:rsidRDefault="00BB3536" w:rsidP="00D3313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 poplatku za komunální odpad</w:t>
      </w:r>
    </w:p>
    <w:p w:rsidR="00D33130" w:rsidRPr="00D33130" w:rsidRDefault="00D33130" w:rsidP="00D33130">
      <w:pPr>
        <w:rPr>
          <w:rFonts w:cs="Arial"/>
          <w:b/>
          <w:sz w:val="24"/>
        </w:rPr>
      </w:pPr>
    </w:p>
    <w:p w:rsidR="00D33130" w:rsidRDefault="00052B9D" w:rsidP="00BB3536">
      <w:pPr>
        <w:tabs>
          <w:tab w:val="left" w:pos="2977"/>
        </w:tabs>
        <w:outlineLvl w:val="0"/>
        <w:rPr>
          <w:rFonts w:cs="Arial"/>
          <w:kern w:val="28"/>
          <w:sz w:val="22"/>
          <w:szCs w:val="22"/>
        </w:rPr>
      </w:pPr>
      <w:r>
        <w:rPr>
          <w:rFonts w:cs="Arial"/>
          <w:kern w:val="28"/>
          <w:sz w:val="22"/>
          <w:szCs w:val="22"/>
        </w:rPr>
        <w:t>Zastupitelstvo města Osečnice</w:t>
      </w:r>
      <w:r w:rsidR="00D33130" w:rsidRPr="00D33130">
        <w:rPr>
          <w:rFonts w:cs="Arial"/>
          <w:kern w:val="28"/>
          <w:sz w:val="22"/>
          <w:szCs w:val="22"/>
        </w:rPr>
        <w:t xml:space="preserve"> se </w:t>
      </w:r>
      <w:r w:rsidR="004377F3">
        <w:rPr>
          <w:rFonts w:cs="Arial"/>
          <w:kern w:val="28"/>
          <w:sz w:val="22"/>
          <w:szCs w:val="22"/>
        </w:rPr>
        <w:t xml:space="preserve">na svém zasedání dne </w:t>
      </w:r>
      <w:proofErr w:type="gramStart"/>
      <w:r w:rsidR="004377F3">
        <w:rPr>
          <w:rFonts w:cs="Arial"/>
          <w:kern w:val="28"/>
          <w:sz w:val="22"/>
          <w:szCs w:val="22"/>
        </w:rPr>
        <w:t>12.12.2019</w:t>
      </w:r>
      <w:proofErr w:type="gramEnd"/>
      <w:r w:rsidR="004377F3">
        <w:rPr>
          <w:rFonts w:cs="Arial"/>
          <w:kern w:val="28"/>
          <w:sz w:val="22"/>
          <w:szCs w:val="22"/>
        </w:rPr>
        <w:t xml:space="preserve"> usnesením č. </w:t>
      </w:r>
      <w:r w:rsidR="00D33130" w:rsidRPr="00D33130">
        <w:rPr>
          <w:rFonts w:cs="Arial"/>
          <w:kern w:val="28"/>
          <w:sz w:val="22"/>
          <w:szCs w:val="22"/>
        </w:rPr>
        <w:t>7/</w:t>
      </w:r>
      <w:r w:rsidR="004377F3">
        <w:rPr>
          <w:rFonts w:cs="Arial"/>
          <w:kern w:val="28"/>
          <w:sz w:val="22"/>
          <w:szCs w:val="22"/>
        </w:rPr>
        <w:t>20</w:t>
      </w:r>
      <w:r w:rsidR="00D33130" w:rsidRPr="00D33130">
        <w:rPr>
          <w:rFonts w:cs="Arial"/>
          <w:kern w:val="28"/>
          <w:sz w:val="22"/>
          <w:szCs w:val="22"/>
        </w:rPr>
        <w:t xml:space="preserve">19 usneslo vydat na základě ustanovení § 10 písm. d) a § 84 odst. 2 písm. h) zákona </w:t>
      </w:r>
      <w:r w:rsidR="00F02063">
        <w:rPr>
          <w:rFonts w:cs="Arial"/>
          <w:kern w:val="28"/>
          <w:sz w:val="22"/>
          <w:szCs w:val="22"/>
        </w:rPr>
        <w:br/>
      </w:r>
      <w:r w:rsidR="00D33130" w:rsidRPr="00D33130">
        <w:rPr>
          <w:rFonts w:cs="Arial"/>
          <w:kern w:val="28"/>
          <w:sz w:val="22"/>
          <w:szCs w:val="22"/>
        </w:rPr>
        <w:t>č. 128/2000 Sb., o obcích</w:t>
      </w:r>
      <w:r w:rsidR="00F02063">
        <w:rPr>
          <w:rFonts w:cs="Arial"/>
          <w:kern w:val="28"/>
          <w:sz w:val="22"/>
          <w:szCs w:val="22"/>
        </w:rPr>
        <w:t xml:space="preserve"> (obecní zřízení)</w:t>
      </w:r>
      <w:r w:rsidR="00D33130" w:rsidRPr="00D33130">
        <w:rPr>
          <w:rFonts w:cs="Arial"/>
          <w:kern w:val="28"/>
          <w:sz w:val="22"/>
          <w:szCs w:val="22"/>
        </w:rPr>
        <w:t>, ve znění pozdějších předpisů</w:t>
      </w:r>
      <w:r w:rsidR="00BB3536">
        <w:rPr>
          <w:rFonts w:cs="Arial"/>
          <w:kern w:val="28"/>
          <w:sz w:val="22"/>
          <w:szCs w:val="22"/>
        </w:rPr>
        <w:t>,</w:t>
      </w:r>
      <w:r w:rsidR="00D33130" w:rsidRPr="00D33130">
        <w:rPr>
          <w:rFonts w:cs="Arial"/>
          <w:kern w:val="28"/>
          <w:sz w:val="22"/>
          <w:szCs w:val="22"/>
        </w:rPr>
        <w:t xml:space="preserve"> a v</w:t>
      </w:r>
      <w:r w:rsidR="00F02063">
        <w:rPr>
          <w:rFonts w:cs="Arial"/>
          <w:kern w:val="28"/>
          <w:sz w:val="22"/>
          <w:szCs w:val="22"/>
        </w:rPr>
        <w:t> </w:t>
      </w:r>
      <w:r w:rsidR="00D33130" w:rsidRPr="00D33130">
        <w:rPr>
          <w:rFonts w:cs="Arial"/>
          <w:kern w:val="28"/>
          <w:sz w:val="22"/>
          <w:szCs w:val="22"/>
        </w:rPr>
        <w:t>souladu</w:t>
      </w:r>
      <w:r w:rsidR="00F02063">
        <w:rPr>
          <w:rFonts w:cs="Arial"/>
          <w:kern w:val="28"/>
          <w:sz w:val="22"/>
          <w:szCs w:val="22"/>
        </w:rPr>
        <w:t xml:space="preserve"> </w:t>
      </w:r>
      <w:r w:rsidR="00F02063">
        <w:rPr>
          <w:rFonts w:cs="Arial"/>
          <w:kern w:val="28"/>
          <w:sz w:val="22"/>
          <w:szCs w:val="22"/>
        </w:rPr>
        <w:br/>
        <w:t>s</w:t>
      </w:r>
      <w:r w:rsidR="00D33130" w:rsidRPr="00D33130">
        <w:rPr>
          <w:rFonts w:cs="Arial"/>
          <w:kern w:val="28"/>
          <w:sz w:val="22"/>
          <w:szCs w:val="22"/>
        </w:rPr>
        <w:t xml:space="preserve"> § 17a odst. 1 zákona č. 185/2001 Sb., o odpadech a o změně některých dalších zákonů, </w:t>
      </w:r>
      <w:r w:rsidR="00F02063">
        <w:rPr>
          <w:rFonts w:cs="Arial"/>
          <w:kern w:val="28"/>
          <w:sz w:val="22"/>
          <w:szCs w:val="22"/>
        </w:rPr>
        <w:br/>
      </w:r>
      <w:r w:rsidR="00D33130" w:rsidRPr="00D33130">
        <w:rPr>
          <w:rFonts w:cs="Arial"/>
          <w:kern w:val="28"/>
          <w:sz w:val="22"/>
          <w:szCs w:val="22"/>
        </w:rPr>
        <w:t>ve znění pozdějších předpisů, tuto obecně závaznou vyhlášku:</w:t>
      </w:r>
    </w:p>
    <w:p w:rsidR="00D33130" w:rsidRDefault="00D33130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BB3536" w:rsidRPr="007C0F33" w:rsidRDefault="00BB3536" w:rsidP="00BB3536">
      <w:pPr>
        <w:pStyle w:val="slalnk"/>
        <w:spacing w:before="240"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Čl. 1</w:t>
      </w:r>
    </w:p>
    <w:p w:rsidR="00BB3536" w:rsidRPr="007C0F33" w:rsidRDefault="00BB3536" w:rsidP="00BB3536">
      <w:pPr>
        <w:pStyle w:val="Nzvylnk"/>
        <w:spacing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Úvodní ustanovení</w:t>
      </w:r>
    </w:p>
    <w:p w:rsidR="00BB3536" w:rsidRPr="007C0F33" w:rsidRDefault="004377F3" w:rsidP="00BB3536">
      <w:pPr>
        <w:pStyle w:val="Zkladntext"/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Osečnice</w:t>
      </w:r>
      <w:r w:rsidR="00BB3536" w:rsidRPr="007C0F33">
        <w:rPr>
          <w:rFonts w:ascii="Arial" w:hAnsi="Arial" w:cs="Arial"/>
          <w:sz w:val="22"/>
          <w:szCs w:val="22"/>
        </w:rPr>
        <w:t xml:space="preserve"> touto obecně závaznou vyhláškou stanoví poplatek za komunální o</w:t>
      </w:r>
      <w:r w:rsidR="00BB35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pad, který vzniká na území obce</w:t>
      </w:r>
      <w:r w:rsidR="00BB3536" w:rsidRPr="007C0F33">
        <w:rPr>
          <w:rFonts w:ascii="Arial" w:hAnsi="Arial" w:cs="Arial"/>
          <w:sz w:val="22"/>
          <w:szCs w:val="22"/>
        </w:rPr>
        <w:t>.</w:t>
      </w:r>
    </w:p>
    <w:p w:rsidR="00BB3536" w:rsidRPr="007C0F33" w:rsidRDefault="00BB3536" w:rsidP="00BB3536">
      <w:pPr>
        <w:pStyle w:val="slalnk"/>
        <w:spacing w:before="240"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Čl. 2</w:t>
      </w:r>
    </w:p>
    <w:p w:rsidR="00BB3536" w:rsidRPr="007C0F33" w:rsidRDefault="00BB3536" w:rsidP="00BB3536">
      <w:pPr>
        <w:pStyle w:val="Nzvylnk"/>
        <w:spacing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Správa poplatku, poplatník</w:t>
      </w:r>
    </w:p>
    <w:p w:rsidR="00BB3536" w:rsidRPr="007C0F33" w:rsidRDefault="00BB3536" w:rsidP="00BB3536">
      <w:pPr>
        <w:pStyle w:val="Zkladntextodsazen"/>
        <w:numPr>
          <w:ilvl w:val="0"/>
          <w:numId w:val="2"/>
        </w:numPr>
        <w:tabs>
          <w:tab w:val="clear" w:pos="720"/>
          <w:tab w:val="num" w:pos="567"/>
        </w:tabs>
        <w:spacing w:after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Správu poplatku vykoná</w:t>
      </w:r>
      <w:r w:rsidR="004377F3">
        <w:rPr>
          <w:rFonts w:ascii="Arial" w:hAnsi="Arial" w:cs="Arial"/>
          <w:sz w:val="22"/>
          <w:szCs w:val="22"/>
        </w:rPr>
        <w:t>vá obec Osečnice</w:t>
      </w:r>
      <w:r w:rsidRPr="007C0F33">
        <w:rPr>
          <w:rFonts w:ascii="Arial" w:hAnsi="Arial" w:cs="Arial"/>
          <w:sz w:val="22"/>
          <w:szCs w:val="22"/>
        </w:rPr>
        <w:t>.</w:t>
      </w:r>
    </w:p>
    <w:p w:rsidR="00BB3536" w:rsidRDefault="00BB3536" w:rsidP="00BB3536">
      <w:pPr>
        <w:pStyle w:val="Zkladntextodsazen"/>
        <w:numPr>
          <w:ilvl w:val="0"/>
          <w:numId w:val="2"/>
        </w:numPr>
        <w:tabs>
          <w:tab w:val="clear" w:pos="720"/>
          <w:tab w:val="num" w:pos="567"/>
        </w:tabs>
        <w:spacing w:after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</w:t>
      </w:r>
      <w:r w:rsidRPr="007C0F3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7C0F33">
        <w:rPr>
          <w:rFonts w:ascii="Arial" w:hAnsi="Arial" w:cs="Arial"/>
          <w:sz w:val="22"/>
          <w:szCs w:val="22"/>
        </w:rPr>
        <w:t xml:space="preserve">. </w:t>
      </w:r>
    </w:p>
    <w:p w:rsidR="00BB3536" w:rsidRPr="007C0F33" w:rsidRDefault="00BB3536" w:rsidP="00BB3536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BB3536" w:rsidRPr="007C0F33" w:rsidRDefault="00BB3536" w:rsidP="00BB3536">
      <w:pPr>
        <w:pStyle w:val="slalnk"/>
        <w:spacing w:before="240"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Čl. 3</w:t>
      </w:r>
    </w:p>
    <w:p w:rsidR="00BB3536" w:rsidRPr="007C0F33" w:rsidRDefault="00BB3536" w:rsidP="00BB3536">
      <w:pPr>
        <w:pStyle w:val="Nzvylnk"/>
        <w:spacing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Sazba poplatku</w:t>
      </w:r>
    </w:p>
    <w:p w:rsidR="00BB3536" w:rsidRPr="007C0F33" w:rsidRDefault="00BB3536" w:rsidP="007423C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uvedená v </w:t>
      </w:r>
      <w:r w:rsidRPr="00BB3536">
        <w:rPr>
          <w:rFonts w:ascii="Arial" w:hAnsi="Arial" w:cs="Arial"/>
          <w:b/>
          <w:sz w:val="22"/>
          <w:szCs w:val="22"/>
        </w:rPr>
        <w:t>příloze č. 1</w:t>
      </w:r>
      <w:r>
        <w:rPr>
          <w:rFonts w:ascii="Arial" w:hAnsi="Arial" w:cs="Arial"/>
          <w:sz w:val="22"/>
          <w:szCs w:val="22"/>
        </w:rPr>
        <w:t xml:space="preserve"> je stanovena na </w:t>
      </w:r>
      <w:r w:rsidRPr="007C0F33">
        <w:rPr>
          <w:rFonts w:ascii="Arial" w:hAnsi="Arial" w:cs="Arial"/>
          <w:sz w:val="22"/>
          <w:szCs w:val="22"/>
        </w:rPr>
        <w:t>základě předpokl</w:t>
      </w:r>
      <w:r>
        <w:rPr>
          <w:rFonts w:ascii="Arial" w:hAnsi="Arial" w:cs="Arial"/>
          <w:sz w:val="22"/>
          <w:szCs w:val="22"/>
        </w:rPr>
        <w:t>á</w:t>
      </w:r>
      <w:r w:rsidR="004377F3">
        <w:rPr>
          <w:rFonts w:ascii="Arial" w:hAnsi="Arial" w:cs="Arial"/>
          <w:sz w:val="22"/>
          <w:szCs w:val="22"/>
        </w:rPr>
        <w:t>daných oprávněných nákladů obce</w:t>
      </w:r>
      <w:r>
        <w:rPr>
          <w:rFonts w:ascii="Arial" w:hAnsi="Arial" w:cs="Arial"/>
          <w:sz w:val="22"/>
          <w:szCs w:val="22"/>
        </w:rPr>
        <w:t xml:space="preserve"> </w:t>
      </w:r>
      <w:r w:rsidRPr="007C0F33">
        <w:rPr>
          <w:rFonts w:ascii="Arial" w:hAnsi="Arial" w:cs="Arial"/>
          <w:sz w:val="22"/>
          <w:szCs w:val="22"/>
        </w:rPr>
        <w:t xml:space="preserve">vyplývajících z režimu nakládání s komunálním odpadem rozvržených na jednotlivé poplatníky podle počtu a objemu nádob určených k odkládání odpadů připadajících na jednotlivé nemovitosti a s ohledem </w:t>
      </w:r>
      <w:r>
        <w:rPr>
          <w:rFonts w:ascii="Arial" w:hAnsi="Arial" w:cs="Arial"/>
          <w:sz w:val="22"/>
          <w:szCs w:val="22"/>
        </w:rPr>
        <w:t>na úroveň třídění tohoto odpadu.</w:t>
      </w:r>
    </w:p>
    <w:p w:rsidR="00BB3536" w:rsidRPr="007C0F33" w:rsidRDefault="00BB3536" w:rsidP="007423C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3536" w:rsidRPr="007C0F33" w:rsidRDefault="00BB3536" w:rsidP="00BB3536">
      <w:pPr>
        <w:pStyle w:val="slalnk"/>
        <w:spacing w:before="480"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Čl. 4</w:t>
      </w:r>
    </w:p>
    <w:p w:rsidR="007423C5" w:rsidRPr="007423C5" w:rsidRDefault="007423C5" w:rsidP="007423C5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poplatku</w:t>
      </w:r>
    </w:p>
    <w:p w:rsidR="007423C5" w:rsidRDefault="007423C5" w:rsidP="007423C5">
      <w:p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</w:t>
      </w:r>
      <w:r>
        <w:rPr>
          <w:rFonts w:cs="Arial"/>
          <w:sz w:val="22"/>
          <w:szCs w:val="22"/>
        </w:rPr>
        <w:tab/>
      </w:r>
      <w:r w:rsidRPr="007423C5">
        <w:rPr>
          <w:rFonts w:cs="Arial"/>
          <w:sz w:val="22"/>
          <w:szCs w:val="22"/>
        </w:rPr>
        <w:t>Plátce poplatku uhradí poplatek za popelnice jednorázově do 31. března příslušného kalendářního roku.</w:t>
      </w:r>
    </w:p>
    <w:p w:rsidR="007423C5" w:rsidRPr="007423C5" w:rsidRDefault="007423C5" w:rsidP="007423C5">
      <w:p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</w:p>
    <w:p w:rsidR="007423C5" w:rsidRPr="004377F3" w:rsidRDefault="004377F3" w:rsidP="004377F3">
      <w:p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7423C5">
        <w:rPr>
          <w:rFonts w:cs="Arial"/>
          <w:sz w:val="22"/>
          <w:szCs w:val="22"/>
        </w:rPr>
        <w:t>)</w:t>
      </w:r>
      <w:r w:rsidR="007423C5">
        <w:rPr>
          <w:rFonts w:cs="Arial"/>
          <w:sz w:val="22"/>
          <w:szCs w:val="22"/>
        </w:rPr>
        <w:tab/>
      </w:r>
      <w:r w:rsidR="007423C5" w:rsidRPr="007423C5">
        <w:rPr>
          <w:rFonts w:cs="Arial"/>
          <w:sz w:val="22"/>
          <w:szCs w:val="22"/>
        </w:rPr>
        <w:t>Pokud povinnost platit poplatek vznikla v průběhu kalendářního roku, je povinen jej uhradit do jednoho m</w:t>
      </w:r>
      <w:r w:rsidR="007423C5">
        <w:rPr>
          <w:rFonts w:cs="Arial"/>
          <w:sz w:val="22"/>
          <w:szCs w:val="22"/>
        </w:rPr>
        <w:t>ěsíce od vzniku této povinnosti.</w:t>
      </w:r>
      <w:r w:rsidR="007423C5" w:rsidRPr="007423C5">
        <w:rPr>
          <w:rFonts w:cs="Arial"/>
          <w:sz w:val="22"/>
          <w:szCs w:val="22"/>
        </w:rPr>
        <w:t xml:space="preserve"> </w:t>
      </w:r>
    </w:p>
    <w:p w:rsidR="00BB3536" w:rsidRPr="007C0F33" w:rsidRDefault="00BB3536" w:rsidP="007423C5">
      <w:pPr>
        <w:pStyle w:val="slalnk"/>
        <w:spacing w:before="240"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lastRenderedPageBreak/>
        <w:t>Čl. 5</w:t>
      </w:r>
    </w:p>
    <w:p w:rsidR="00BB3536" w:rsidRPr="007C0F33" w:rsidRDefault="00BB3536" w:rsidP="00BB3536">
      <w:pPr>
        <w:pStyle w:val="Nzvylnk"/>
        <w:spacing w:line="264" w:lineRule="auto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Všeobecné ustanovení</w:t>
      </w:r>
    </w:p>
    <w:p w:rsidR="00BB3536" w:rsidRPr="007C0F33" w:rsidRDefault="00BB3536" w:rsidP="00BB3536">
      <w:pPr>
        <w:pStyle w:val="Zkladntext"/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 w:rsidRPr="007C0F33">
        <w:rPr>
          <w:rFonts w:ascii="Arial" w:hAnsi="Arial" w:cs="Arial"/>
          <w:sz w:val="22"/>
          <w:szCs w:val="22"/>
        </w:rPr>
        <w:t>Na řízení ve věcech poplatku za komunální odpad se vztahují zvláštní právní předpisy.</w:t>
      </w:r>
      <w:r w:rsidRPr="007C0F3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C0F33">
        <w:rPr>
          <w:rFonts w:ascii="Arial" w:hAnsi="Arial" w:cs="Arial"/>
          <w:sz w:val="22"/>
          <w:szCs w:val="22"/>
        </w:rPr>
        <w:t xml:space="preserve">  </w:t>
      </w:r>
    </w:p>
    <w:p w:rsidR="007423C5" w:rsidRDefault="007423C5" w:rsidP="007423C5">
      <w:pPr>
        <w:jc w:val="left"/>
        <w:rPr>
          <w:rFonts w:ascii="Times New Roman" w:hAnsi="Times New Roman"/>
          <w:sz w:val="24"/>
        </w:rPr>
      </w:pPr>
    </w:p>
    <w:p w:rsidR="004377F3" w:rsidRPr="00D33130" w:rsidRDefault="004377F3" w:rsidP="007423C5">
      <w:pPr>
        <w:jc w:val="left"/>
        <w:rPr>
          <w:rFonts w:ascii="Times New Roman" w:hAnsi="Times New Roman"/>
          <w:sz w:val="24"/>
        </w:rPr>
      </w:pPr>
    </w:p>
    <w:p w:rsidR="007423C5" w:rsidRPr="00D33130" w:rsidRDefault="004377F3" w:rsidP="007423C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Čl. 6</w:t>
      </w:r>
    </w:p>
    <w:p w:rsidR="007423C5" w:rsidRPr="00D33130" w:rsidRDefault="007423C5" w:rsidP="007423C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D33130">
        <w:rPr>
          <w:rFonts w:cs="Arial"/>
          <w:b/>
          <w:sz w:val="22"/>
          <w:szCs w:val="22"/>
        </w:rPr>
        <w:t>Účinnost</w:t>
      </w:r>
    </w:p>
    <w:p w:rsidR="007423C5" w:rsidRPr="00D33130" w:rsidRDefault="007423C5" w:rsidP="007423C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7423C5" w:rsidRPr="00D33130" w:rsidRDefault="007423C5" w:rsidP="007423C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33130">
        <w:rPr>
          <w:rFonts w:ascii="TimesNewRoman" w:hAnsi="TimesNewRoman" w:cs="TimesNewRoman"/>
          <w:sz w:val="22"/>
          <w:szCs w:val="22"/>
        </w:rPr>
        <w:t>Tato obecně závazná vyhláška nabývá účinnosti dnem 1. ledna 2020.</w:t>
      </w:r>
    </w:p>
    <w:p w:rsidR="007423C5" w:rsidRPr="00D33130" w:rsidRDefault="007423C5" w:rsidP="007423C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7423C5" w:rsidRPr="00D33130" w:rsidRDefault="007423C5" w:rsidP="007423C5">
      <w:pPr>
        <w:jc w:val="left"/>
        <w:rPr>
          <w:rFonts w:ascii="Times New Roman" w:hAnsi="Times New Roman"/>
          <w:sz w:val="22"/>
          <w:szCs w:val="22"/>
        </w:rPr>
      </w:pPr>
    </w:p>
    <w:p w:rsidR="007423C5" w:rsidRPr="00D33130" w:rsidRDefault="007423C5" w:rsidP="007423C5">
      <w:pPr>
        <w:jc w:val="left"/>
        <w:rPr>
          <w:rFonts w:ascii="Times New Roman" w:hAnsi="Times New Roman"/>
          <w:sz w:val="22"/>
          <w:szCs w:val="22"/>
        </w:rPr>
      </w:pPr>
    </w:p>
    <w:p w:rsidR="007423C5" w:rsidRPr="00D33130" w:rsidRDefault="007423C5" w:rsidP="007423C5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7423C5" w:rsidRPr="00D33130" w:rsidRDefault="007423C5" w:rsidP="007423C5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7423C5" w:rsidRPr="00D33130" w:rsidRDefault="007423C5" w:rsidP="007423C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2"/>
          <w:szCs w:val="22"/>
        </w:rPr>
      </w:pPr>
      <w:r w:rsidRPr="00D33130">
        <w:rPr>
          <w:rFonts w:ascii="TimesNewRoman" w:hAnsi="TimesNewRoman" w:cs="TimesNewRoman"/>
          <w:sz w:val="22"/>
          <w:szCs w:val="22"/>
        </w:rPr>
        <w:t>……………………………..</w:t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  <w:t>………………………………..</w:t>
      </w:r>
    </w:p>
    <w:p w:rsidR="007423C5" w:rsidRDefault="004377F3" w:rsidP="007423C5">
      <w:pPr>
        <w:autoSpaceDE w:val="0"/>
        <w:autoSpaceDN w:val="0"/>
        <w:adjustRightInd w:val="0"/>
        <w:ind w:left="708" w:hanging="708"/>
        <w:jc w:val="left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Iveta </w:t>
      </w:r>
      <w:proofErr w:type="spellStart"/>
      <w:r>
        <w:rPr>
          <w:rFonts w:ascii="TimesNewRoman" w:hAnsi="TimesNewRoman" w:cs="TimesNewRoman"/>
          <w:sz w:val="22"/>
          <w:szCs w:val="22"/>
        </w:rPr>
        <w:t>Hypšová</w:t>
      </w:r>
      <w:proofErr w:type="spellEnd"/>
      <w:r w:rsidR="007423C5" w:rsidRPr="00D33130">
        <w:rPr>
          <w:rFonts w:ascii="TimesNewRoman" w:hAnsi="TimesNewRoman" w:cs="TimesNewRoman"/>
          <w:sz w:val="22"/>
          <w:szCs w:val="22"/>
        </w:rPr>
        <w:tab/>
      </w:r>
      <w:r w:rsidR="007423C5" w:rsidRPr="00D33130">
        <w:rPr>
          <w:rFonts w:ascii="TimesNewRoman" w:hAnsi="TimesNewRoman" w:cs="TimesNewRoman"/>
          <w:sz w:val="22"/>
          <w:szCs w:val="22"/>
        </w:rPr>
        <w:tab/>
        <w:t xml:space="preserve">  </w:t>
      </w:r>
      <w:r w:rsidR="007423C5" w:rsidRPr="00D33130">
        <w:rPr>
          <w:rFonts w:ascii="TimesNewRoman" w:hAnsi="TimesNewRoman" w:cs="TimesNewRoman"/>
          <w:sz w:val="22"/>
          <w:szCs w:val="22"/>
        </w:rPr>
        <w:tab/>
      </w:r>
      <w:r w:rsidR="007423C5" w:rsidRPr="00D33130">
        <w:rPr>
          <w:rFonts w:ascii="TimesNewRoman" w:hAnsi="TimesNewRoman" w:cs="TimesNewRoman"/>
          <w:sz w:val="22"/>
          <w:szCs w:val="22"/>
        </w:rPr>
        <w:tab/>
        <w:t xml:space="preserve">    </w:t>
      </w:r>
      <w:r w:rsidR="007423C5">
        <w:rPr>
          <w:rFonts w:ascii="TimesNewRoman" w:hAnsi="TimesNewRoman" w:cs="TimesNewRoman"/>
          <w:sz w:val="22"/>
          <w:szCs w:val="22"/>
        </w:rPr>
        <w:t xml:space="preserve">            </w:t>
      </w:r>
      <w:r>
        <w:rPr>
          <w:rFonts w:ascii="TimesNewRoman" w:hAnsi="TimesNewRoman" w:cs="TimesNewRoman"/>
          <w:sz w:val="22"/>
          <w:szCs w:val="22"/>
        </w:rPr>
        <w:t xml:space="preserve">            Vlasta Poláčková</w:t>
      </w:r>
    </w:p>
    <w:p w:rsidR="007423C5" w:rsidRPr="00D33130" w:rsidRDefault="007423C5" w:rsidP="007423C5">
      <w:pPr>
        <w:autoSpaceDE w:val="0"/>
        <w:autoSpaceDN w:val="0"/>
        <w:adjustRightInd w:val="0"/>
        <w:ind w:left="708" w:hanging="708"/>
        <w:jc w:val="left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     </w:t>
      </w:r>
      <w:r w:rsidRPr="00D33130">
        <w:rPr>
          <w:rFonts w:ascii="TimesNewRoman" w:hAnsi="TimesNewRoman" w:cs="TimesNewRoman"/>
          <w:sz w:val="22"/>
          <w:szCs w:val="22"/>
        </w:rPr>
        <w:t>starosta</w:t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="00052B9D">
        <w:rPr>
          <w:rFonts w:ascii="TimesNewRoman" w:hAnsi="TimesNewRoman" w:cs="TimesNewRoman"/>
          <w:sz w:val="22"/>
          <w:szCs w:val="22"/>
        </w:rPr>
        <w:tab/>
      </w:r>
      <w:r w:rsidR="00052B9D">
        <w:rPr>
          <w:rFonts w:ascii="TimesNewRoman" w:hAnsi="TimesNewRoman" w:cs="TimesNewRoman"/>
          <w:sz w:val="22"/>
          <w:szCs w:val="22"/>
        </w:rPr>
        <w:tab/>
        <w:t xml:space="preserve"> </w:t>
      </w:r>
      <w:r w:rsidR="00052B9D">
        <w:rPr>
          <w:rFonts w:ascii="TimesNewRoman" w:hAnsi="TimesNewRoman" w:cs="TimesNewRoman"/>
          <w:sz w:val="22"/>
          <w:szCs w:val="22"/>
        </w:rPr>
        <w:tab/>
      </w:r>
      <w:r w:rsidR="00052B9D">
        <w:rPr>
          <w:rFonts w:ascii="TimesNewRoman" w:hAnsi="TimesNewRoman" w:cs="TimesNewRoman"/>
          <w:sz w:val="22"/>
          <w:szCs w:val="22"/>
        </w:rPr>
        <w:tab/>
        <w:t xml:space="preserve">                     </w:t>
      </w:r>
      <w:r w:rsidRPr="00D33130">
        <w:rPr>
          <w:rFonts w:ascii="TimesNewRoman" w:hAnsi="TimesNewRoman" w:cs="TimesNewRoman"/>
          <w:sz w:val="22"/>
          <w:szCs w:val="22"/>
        </w:rPr>
        <w:t>místostarosta</w:t>
      </w:r>
    </w:p>
    <w:p w:rsidR="007423C5" w:rsidRPr="00D33130" w:rsidRDefault="007423C5" w:rsidP="007423C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2"/>
          <w:szCs w:val="22"/>
        </w:rPr>
      </w:pP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</w:r>
      <w:r w:rsidRPr="00D33130">
        <w:rPr>
          <w:rFonts w:ascii="TimesNewRoman" w:hAnsi="TimesNewRoman" w:cs="TimesNewRoman"/>
          <w:sz w:val="22"/>
          <w:szCs w:val="22"/>
        </w:rPr>
        <w:tab/>
        <w:t xml:space="preserve">                                     </w:t>
      </w: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Pr="00D33130" w:rsidRDefault="007423C5" w:rsidP="007423C5">
      <w:pPr>
        <w:tabs>
          <w:tab w:val="left" w:pos="1080"/>
          <w:tab w:val="left" w:pos="7020"/>
        </w:tabs>
        <w:spacing w:before="240" w:line="276" w:lineRule="auto"/>
        <w:jc w:val="left"/>
        <w:rPr>
          <w:rFonts w:cs="Arial"/>
          <w:sz w:val="22"/>
          <w:szCs w:val="22"/>
        </w:rPr>
      </w:pPr>
      <w:r w:rsidRPr="00D33130">
        <w:rPr>
          <w:rFonts w:cs="Arial"/>
          <w:sz w:val="22"/>
          <w:szCs w:val="22"/>
        </w:rPr>
        <w:t>Vyvěšeno na úřední desce dne:</w:t>
      </w:r>
    </w:p>
    <w:p w:rsidR="007423C5" w:rsidRPr="00D33130" w:rsidRDefault="007423C5" w:rsidP="007423C5">
      <w:pPr>
        <w:tabs>
          <w:tab w:val="left" w:pos="1080"/>
          <w:tab w:val="left" w:pos="7020"/>
        </w:tabs>
        <w:spacing w:line="276" w:lineRule="auto"/>
        <w:jc w:val="left"/>
        <w:rPr>
          <w:rFonts w:ascii="Times New Roman" w:hAnsi="Times New Roman"/>
          <w:sz w:val="24"/>
        </w:rPr>
      </w:pPr>
      <w:r w:rsidRPr="00D33130">
        <w:rPr>
          <w:rFonts w:cs="Arial"/>
          <w:sz w:val="22"/>
          <w:szCs w:val="22"/>
        </w:rPr>
        <w:t>Sejmuto z úřední desky dne:</w:t>
      </w:r>
    </w:p>
    <w:p w:rsidR="007423C5" w:rsidRPr="00D33130" w:rsidRDefault="007423C5" w:rsidP="007423C5">
      <w:pPr>
        <w:spacing w:line="276" w:lineRule="auto"/>
        <w:jc w:val="left"/>
        <w:rPr>
          <w:rFonts w:cs="Arial"/>
          <w:sz w:val="22"/>
          <w:szCs w:val="22"/>
        </w:rPr>
      </w:pPr>
      <w:r w:rsidRPr="00D33130">
        <w:rPr>
          <w:rFonts w:cs="Arial"/>
          <w:sz w:val="22"/>
          <w:szCs w:val="22"/>
        </w:rPr>
        <w:t>Zveřejnění bylo shodně provedeno na elektronické úřední desce.</w:t>
      </w: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ascii="Times New Roman" w:hAnsi="Times New Roman"/>
          <w:sz w:val="24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52308D" w:rsidRDefault="0052308D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52308D" w:rsidRDefault="0052308D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52308D" w:rsidRDefault="0052308D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52308D" w:rsidRDefault="0052308D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4377F3" w:rsidRDefault="004377F3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7423C5" w:rsidRDefault="007423C5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  <w:r w:rsidRPr="007423C5">
        <w:rPr>
          <w:rFonts w:cs="Arial"/>
          <w:b/>
          <w:kern w:val="28"/>
          <w:sz w:val="22"/>
          <w:szCs w:val="22"/>
          <w:u w:val="single"/>
        </w:rPr>
        <w:lastRenderedPageBreak/>
        <w:t>Příloha č. 1</w:t>
      </w:r>
      <w:r w:rsidR="004377F3">
        <w:rPr>
          <w:rFonts w:cs="Arial"/>
          <w:kern w:val="28"/>
          <w:sz w:val="22"/>
          <w:szCs w:val="22"/>
        </w:rPr>
        <w:t xml:space="preserve"> k obecně závazné vyhlášce č. 2</w:t>
      </w:r>
      <w:r>
        <w:rPr>
          <w:rFonts w:cs="Arial"/>
          <w:kern w:val="28"/>
          <w:sz w:val="22"/>
          <w:szCs w:val="22"/>
        </w:rPr>
        <w:t>/2019</w:t>
      </w:r>
    </w:p>
    <w:p w:rsidR="00D33130" w:rsidRDefault="00D33130" w:rsidP="00D33130">
      <w:pPr>
        <w:tabs>
          <w:tab w:val="left" w:pos="2977"/>
        </w:tabs>
        <w:spacing w:line="312" w:lineRule="auto"/>
        <w:outlineLvl w:val="0"/>
        <w:rPr>
          <w:rFonts w:cs="Arial"/>
          <w:kern w:val="28"/>
          <w:sz w:val="22"/>
          <w:szCs w:val="22"/>
        </w:rPr>
      </w:pPr>
    </w:p>
    <w:p w:rsidR="00D33130" w:rsidRPr="00D33130" w:rsidRDefault="00D33130" w:rsidP="00D33130">
      <w:pPr>
        <w:rPr>
          <w:rFonts w:cs="Arial"/>
          <w:b/>
          <w:caps/>
          <w:sz w:val="28"/>
          <w:szCs w:val="28"/>
        </w:rPr>
      </w:pPr>
      <w:r w:rsidRPr="00D33130">
        <w:rPr>
          <w:rFonts w:cs="Arial"/>
          <w:b/>
          <w:caps/>
          <w:sz w:val="28"/>
          <w:szCs w:val="28"/>
        </w:rPr>
        <w:t>výše poplatku za komunální odpad</w:t>
      </w:r>
    </w:p>
    <w:p w:rsidR="00D33130" w:rsidRPr="00D33130" w:rsidRDefault="00D33130" w:rsidP="00D33130">
      <w:pPr>
        <w:rPr>
          <w:rFonts w:cs="Arial"/>
          <w:sz w:val="32"/>
          <w:szCs w:val="32"/>
        </w:rPr>
      </w:pPr>
    </w:p>
    <w:p w:rsidR="00D33130" w:rsidRPr="00D33130" w:rsidRDefault="00D33130" w:rsidP="00D33130">
      <w:pPr>
        <w:rPr>
          <w:rFonts w:cs="Arial"/>
          <w:sz w:val="28"/>
          <w:szCs w:val="28"/>
        </w:rPr>
      </w:pPr>
      <w:r w:rsidRPr="00D33130">
        <w:rPr>
          <w:rFonts w:cs="Arial"/>
          <w:sz w:val="28"/>
          <w:szCs w:val="28"/>
        </w:rPr>
        <w:t xml:space="preserve">Popelnice </w:t>
      </w:r>
      <w:smartTag w:uri="urn:schemas-microsoft-com:office:smarttags" w:element="metricconverter">
        <w:smartTagPr>
          <w:attr w:name="ProductID" w:val="110 l"/>
        </w:smartTagPr>
        <w:r w:rsidRPr="00D33130">
          <w:rPr>
            <w:rFonts w:cs="Arial"/>
            <w:sz w:val="28"/>
            <w:szCs w:val="28"/>
          </w:rPr>
          <w:t>110 l</w:t>
        </w:r>
      </w:smartTag>
      <w:r w:rsidRPr="00D33130">
        <w:rPr>
          <w:rFonts w:cs="Arial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D33130">
          <w:rPr>
            <w:rFonts w:cs="Arial"/>
            <w:sz w:val="28"/>
            <w:szCs w:val="28"/>
          </w:rPr>
          <w:t>120 l</w:t>
        </w:r>
      </w:smartTag>
      <w:r w:rsidRPr="00D33130">
        <w:rPr>
          <w:rFonts w:cs="Arial"/>
          <w:sz w:val="28"/>
          <w:szCs w:val="28"/>
        </w:rPr>
        <w:t xml:space="preserve"> a </w:t>
      </w:r>
      <w:smartTag w:uri="urn:schemas-microsoft-com:office:smarttags" w:element="metricconverter">
        <w:smartTagPr>
          <w:attr w:name="ProductID" w:val="240 l"/>
        </w:smartTagPr>
        <w:r w:rsidRPr="00D33130">
          <w:rPr>
            <w:rFonts w:cs="Arial"/>
            <w:sz w:val="28"/>
            <w:szCs w:val="28"/>
          </w:rPr>
          <w:t>240 l</w:t>
        </w:r>
      </w:smartTag>
    </w:p>
    <w:p w:rsidR="00D33130" w:rsidRPr="00D33130" w:rsidRDefault="00D33130" w:rsidP="00D33130">
      <w:pPr>
        <w:rPr>
          <w:rFonts w:cs="Arial"/>
          <w:sz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900"/>
        <w:gridCol w:w="2340"/>
        <w:gridCol w:w="1440"/>
        <w:gridCol w:w="1762"/>
      </w:tblGrid>
      <w:tr w:rsidR="00D33130" w:rsidRPr="00D33130" w:rsidTr="003B7C4A">
        <w:trPr>
          <w:trHeight w:val="79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Název svozu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Počet svozů ročně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Svozová známka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10,120 l"/>
              </w:smartTagPr>
              <w:r w:rsidRPr="00D33130">
                <w:rPr>
                  <w:rFonts w:cs="Arial"/>
                  <w:b/>
                  <w:sz w:val="22"/>
                  <w:szCs w:val="22"/>
                </w:rPr>
                <w:t>110,120 l</w:t>
              </w:r>
            </w:smartTag>
          </w:p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Kč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D33130">
                <w:rPr>
                  <w:rFonts w:cs="Arial"/>
                  <w:b/>
                  <w:sz w:val="22"/>
                  <w:szCs w:val="22"/>
                </w:rPr>
                <w:t>240 l</w:t>
              </w:r>
            </w:smartTag>
          </w:p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  <w:tr w:rsidR="00D33130" w:rsidRPr="00D33130" w:rsidTr="003B7C4A">
        <w:trPr>
          <w:trHeight w:val="36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14 – ti denní zimní svoz</w:t>
            </w:r>
          </w:p>
          <w:p w:rsidR="004377F3" w:rsidRP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měsíční letní svoz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21x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šedá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  <w:r w:rsidR="00334378">
              <w:rPr>
                <w:rFonts w:cs="Arial"/>
                <w:b/>
                <w:sz w:val="22"/>
                <w:szCs w:val="22"/>
              </w:rPr>
              <w:t>680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30" w:rsidRPr="00D33130" w:rsidRDefault="00334378" w:rsidP="003B7C4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3.360</w:t>
            </w:r>
          </w:p>
        </w:tc>
      </w:tr>
      <w:tr w:rsidR="00D33130" w:rsidRPr="00D33130" w:rsidTr="003B7C4A">
        <w:trPr>
          <w:trHeight w:val="36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left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měsíční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>13x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modrá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130" w:rsidRPr="00D33130" w:rsidRDefault="007F32C2" w:rsidP="003B7C4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3130">
              <w:rPr>
                <w:rFonts w:cs="Arial"/>
                <w:b/>
                <w:sz w:val="22"/>
                <w:szCs w:val="22"/>
              </w:rPr>
              <w:t>1</w:t>
            </w:r>
            <w:r w:rsidR="004377F3">
              <w:rPr>
                <w:rFonts w:cs="Arial"/>
                <w:b/>
                <w:sz w:val="22"/>
                <w:szCs w:val="22"/>
              </w:rPr>
              <w:t>.1</w:t>
            </w:r>
            <w:r w:rsidR="00334378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  <w:r w:rsidR="004377F3">
              <w:rPr>
                <w:rFonts w:cs="Arial"/>
                <w:b/>
                <w:sz w:val="22"/>
                <w:szCs w:val="22"/>
              </w:rPr>
              <w:t>210</w:t>
            </w:r>
          </w:p>
        </w:tc>
      </w:tr>
      <w:tr w:rsidR="00D33130" w:rsidRPr="00D33130" w:rsidTr="003B7C4A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Svozový  PE</w:t>
            </w:r>
            <w:proofErr w:type="gramEnd"/>
            <w:r w:rsidR="003B7C4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pytel </w:t>
            </w:r>
            <w:r w:rsidR="003B7C4A">
              <w:rPr>
                <w:rFonts w:cs="Arial"/>
                <w:b/>
                <w:sz w:val="22"/>
                <w:szCs w:val="22"/>
              </w:rPr>
              <w:t>–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7C4A">
              <w:rPr>
                <w:rFonts w:cs="Arial"/>
                <w:b/>
                <w:sz w:val="22"/>
                <w:szCs w:val="22"/>
              </w:rPr>
              <w:t>nosnost 20 kg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3B7C4A" w:rsidP="003B7C4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30" w:rsidRPr="00D33130" w:rsidRDefault="004377F3" w:rsidP="003B7C4A">
            <w:pPr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bílá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  <w:r w:rsidRPr="00D33130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B7C4A">
              <w:rPr>
                <w:rFonts w:cs="Arial"/>
                <w:b/>
                <w:sz w:val="22"/>
                <w:szCs w:val="22"/>
              </w:rPr>
              <w:t>300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30" w:rsidRPr="00D33130" w:rsidRDefault="00D33130" w:rsidP="003B7C4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3B7C4A" w:rsidTr="003B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715" w:type="dxa"/>
          </w:tcPr>
          <w:p w:rsidR="003B7C4A" w:rsidRPr="003B7C4A" w:rsidRDefault="003B7C4A" w:rsidP="003B7C4A">
            <w:pPr>
              <w:ind w:left="15"/>
              <w:rPr>
                <w:rFonts w:cs="Arial"/>
                <w:b/>
                <w:sz w:val="22"/>
              </w:rPr>
            </w:pPr>
            <w:r w:rsidRPr="003B7C4A">
              <w:rPr>
                <w:rFonts w:cs="Arial"/>
                <w:b/>
                <w:sz w:val="22"/>
                <w:szCs w:val="22"/>
              </w:rPr>
              <w:t>PE pytel – doplňkový svoz</w:t>
            </w:r>
          </w:p>
        </w:tc>
        <w:tc>
          <w:tcPr>
            <w:tcW w:w="900" w:type="dxa"/>
          </w:tcPr>
          <w:p w:rsidR="003B7C4A" w:rsidRPr="003B7C4A" w:rsidRDefault="003B7C4A" w:rsidP="003B7C4A">
            <w:pPr>
              <w:ind w:left="15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</w:tcPr>
          <w:p w:rsidR="003B7C4A" w:rsidRPr="003B7C4A" w:rsidRDefault="003B7C4A" w:rsidP="003B7C4A">
            <w:pPr>
              <w:ind w:left="15"/>
              <w:rPr>
                <w:rFonts w:cs="Arial"/>
                <w:b/>
                <w:sz w:val="22"/>
              </w:rPr>
            </w:pPr>
            <w:r w:rsidRPr="003B7C4A">
              <w:rPr>
                <w:rFonts w:cs="Arial"/>
                <w:b/>
                <w:sz w:val="22"/>
                <w:szCs w:val="22"/>
              </w:rPr>
              <w:t>bílá</w:t>
            </w:r>
          </w:p>
        </w:tc>
        <w:tc>
          <w:tcPr>
            <w:tcW w:w="1440" w:type="dxa"/>
          </w:tcPr>
          <w:p w:rsidR="003B7C4A" w:rsidRPr="003B7C4A" w:rsidRDefault="003B7C4A" w:rsidP="003B7C4A">
            <w:pPr>
              <w:ind w:left="15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3B7C4A">
              <w:rPr>
                <w:rFonts w:cs="Arial"/>
                <w:b/>
                <w:sz w:val="22"/>
                <w:szCs w:val="22"/>
              </w:rPr>
              <w:t>90</w:t>
            </w:r>
          </w:p>
        </w:tc>
        <w:tc>
          <w:tcPr>
            <w:tcW w:w="1762" w:type="dxa"/>
          </w:tcPr>
          <w:p w:rsidR="003B7C4A" w:rsidRDefault="003B7C4A" w:rsidP="003B7C4A">
            <w:pPr>
              <w:ind w:left="15"/>
              <w:jc w:val="left"/>
              <w:rPr>
                <w:rFonts w:cs="Arial"/>
                <w:sz w:val="24"/>
              </w:rPr>
            </w:pPr>
          </w:p>
        </w:tc>
      </w:tr>
    </w:tbl>
    <w:p w:rsidR="00F02063" w:rsidRDefault="00F02063" w:rsidP="00D33130">
      <w:pPr>
        <w:jc w:val="left"/>
        <w:rPr>
          <w:rFonts w:cs="Arial"/>
          <w:sz w:val="28"/>
          <w:szCs w:val="28"/>
        </w:rPr>
      </w:pPr>
    </w:p>
    <w:p w:rsidR="00D33130" w:rsidRPr="00D33130" w:rsidRDefault="00D33130" w:rsidP="00D33130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2"/>
          <w:szCs w:val="22"/>
        </w:rPr>
      </w:pPr>
    </w:p>
    <w:p w:rsidR="00D33130" w:rsidRPr="00D33130" w:rsidRDefault="00D33130" w:rsidP="00D33130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2"/>
          <w:szCs w:val="22"/>
        </w:rPr>
      </w:pPr>
    </w:p>
    <w:p w:rsidR="00D33130" w:rsidRPr="00D33130" w:rsidRDefault="00D33130" w:rsidP="00D33130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2"/>
          <w:szCs w:val="22"/>
        </w:rPr>
      </w:pPr>
    </w:p>
    <w:p w:rsidR="00D33130" w:rsidRPr="00D33130" w:rsidRDefault="00D33130" w:rsidP="00D33130">
      <w:pPr>
        <w:keepNext/>
        <w:keepLines/>
        <w:spacing w:before="360" w:after="60"/>
        <w:jc w:val="center"/>
        <w:rPr>
          <w:rFonts w:cs="Arial"/>
          <w:b/>
          <w:bCs/>
          <w:sz w:val="22"/>
          <w:szCs w:val="22"/>
        </w:rPr>
      </w:pPr>
    </w:p>
    <w:p w:rsidR="00D33130" w:rsidRDefault="00D33130" w:rsidP="00D33130">
      <w:pPr>
        <w:keepNext/>
        <w:keepLines/>
        <w:spacing w:before="360" w:after="60"/>
        <w:jc w:val="center"/>
        <w:rPr>
          <w:rFonts w:cs="Arial"/>
          <w:b/>
          <w:bCs/>
          <w:sz w:val="24"/>
          <w:szCs w:val="20"/>
        </w:rPr>
      </w:pPr>
    </w:p>
    <w:p w:rsidR="00D33130" w:rsidRDefault="00D33130" w:rsidP="00D33130">
      <w:pPr>
        <w:jc w:val="left"/>
        <w:rPr>
          <w:rFonts w:ascii="Times New Roman" w:hAnsi="Times New Roman"/>
          <w:sz w:val="24"/>
        </w:rPr>
      </w:pPr>
    </w:p>
    <w:p w:rsidR="00D33130" w:rsidRDefault="00D33130" w:rsidP="00D33130">
      <w:pPr>
        <w:jc w:val="left"/>
        <w:rPr>
          <w:rFonts w:ascii="Times New Roman" w:hAnsi="Times New Roman"/>
          <w:sz w:val="24"/>
        </w:rPr>
      </w:pPr>
    </w:p>
    <w:p w:rsidR="00D33130" w:rsidRPr="00D33130" w:rsidRDefault="00D33130" w:rsidP="00D33130">
      <w:pPr>
        <w:jc w:val="left"/>
        <w:rPr>
          <w:rFonts w:ascii="Times New Roman" w:hAnsi="Times New Roman"/>
          <w:sz w:val="24"/>
        </w:rPr>
      </w:pPr>
    </w:p>
    <w:sectPr w:rsidR="00D33130" w:rsidRPr="00D33130" w:rsidSect="00AB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95" w:rsidRDefault="00081895" w:rsidP="00D33130">
      <w:r>
        <w:separator/>
      </w:r>
    </w:p>
  </w:endnote>
  <w:endnote w:type="continuationSeparator" w:id="0">
    <w:p w:rsidR="00081895" w:rsidRDefault="00081895" w:rsidP="00D3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95" w:rsidRDefault="00081895" w:rsidP="00D33130">
      <w:r>
        <w:separator/>
      </w:r>
    </w:p>
  </w:footnote>
  <w:footnote w:type="continuationSeparator" w:id="0">
    <w:p w:rsidR="00081895" w:rsidRDefault="00081895" w:rsidP="00D33130">
      <w:r>
        <w:continuationSeparator/>
      </w:r>
    </w:p>
  </w:footnote>
  <w:footnote w:id="1">
    <w:p w:rsidR="00BB3536" w:rsidRPr="001F0E69" w:rsidRDefault="00BB3536" w:rsidP="00BB3536">
      <w:pPr>
        <w:pStyle w:val="Textpoznpodarou"/>
        <w:ind w:left="142" w:hanging="142"/>
        <w:rPr>
          <w:rFonts w:cs="Arial"/>
        </w:rPr>
      </w:pPr>
      <w:r w:rsidRPr="001F0E69">
        <w:rPr>
          <w:rStyle w:val="Znakapoznpodarou"/>
          <w:rFonts w:cs="Arial"/>
        </w:rPr>
        <w:footnoteRef/>
      </w:r>
      <w:r w:rsidRPr="001F0E69">
        <w:rPr>
          <w:rFonts w:cs="Arial"/>
        </w:rPr>
        <w:t xml:space="preserve"> § 17a odst. 2 zákona č. 185/2001, o odpadech a</w:t>
      </w:r>
      <w:r>
        <w:rPr>
          <w:rFonts w:cs="Arial"/>
        </w:rPr>
        <w:t xml:space="preserve"> o</w:t>
      </w:r>
      <w:r w:rsidRPr="001F0E69">
        <w:rPr>
          <w:rFonts w:cs="Arial"/>
        </w:rPr>
        <w:t xml:space="preserve"> změně některých dalších zák</w:t>
      </w:r>
      <w:r>
        <w:rPr>
          <w:rFonts w:cs="Arial"/>
        </w:rPr>
        <w:t xml:space="preserve">onů, ve znění pozdějších </w:t>
      </w:r>
      <w:r w:rsidRPr="001F0E69">
        <w:rPr>
          <w:rFonts w:cs="Arial"/>
        </w:rPr>
        <w:t>předpisů</w:t>
      </w:r>
    </w:p>
  </w:footnote>
  <w:footnote w:id="2">
    <w:p w:rsidR="00BB3536" w:rsidRPr="00822003" w:rsidRDefault="00BB3536" w:rsidP="00BB3536">
      <w:pPr>
        <w:pStyle w:val="Textpoznpodarou"/>
        <w:rPr>
          <w:rFonts w:cs="Arial"/>
        </w:rPr>
      </w:pPr>
      <w:r w:rsidRPr="00822003">
        <w:rPr>
          <w:rStyle w:val="Znakapoznpodarou"/>
          <w:rFonts w:cs="Arial"/>
        </w:rPr>
        <w:footnoteRef/>
      </w:r>
      <w:r w:rsidRPr="00822003">
        <w:rPr>
          <w:rFonts w:cs="Arial"/>
        </w:rPr>
        <w:t xml:space="preserve"> zákon  č.  280/2009 Sb., daňový řád,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633940E0"/>
    <w:multiLevelType w:val="hybridMultilevel"/>
    <w:tmpl w:val="09A44EF0"/>
    <w:lvl w:ilvl="0" w:tplc="B1A0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D01139"/>
    <w:multiLevelType w:val="hybridMultilevel"/>
    <w:tmpl w:val="3DC89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130"/>
    <w:rsid w:val="00043ADD"/>
    <w:rsid w:val="00052B9D"/>
    <w:rsid w:val="00081895"/>
    <w:rsid w:val="00084485"/>
    <w:rsid w:val="00121E4D"/>
    <w:rsid w:val="00166038"/>
    <w:rsid w:val="001F5412"/>
    <w:rsid w:val="00236083"/>
    <w:rsid w:val="00334378"/>
    <w:rsid w:val="003B7C4A"/>
    <w:rsid w:val="004377F3"/>
    <w:rsid w:val="004601BA"/>
    <w:rsid w:val="0052308D"/>
    <w:rsid w:val="00593F88"/>
    <w:rsid w:val="00666FAA"/>
    <w:rsid w:val="007423C5"/>
    <w:rsid w:val="007F32C2"/>
    <w:rsid w:val="00811832"/>
    <w:rsid w:val="00991E94"/>
    <w:rsid w:val="00A5007A"/>
    <w:rsid w:val="00AB1FFE"/>
    <w:rsid w:val="00B1213B"/>
    <w:rsid w:val="00BB3536"/>
    <w:rsid w:val="00CA53D8"/>
    <w:rsid w:val="00D33130"/>
    <w:rsid w:val="00E42B55"/>
    <w:rsid w:val="00E7286D"/>
    <w:rsid w:val="00F0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13B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121E4D"/>
    <w:rPr>
      <w:rFonts w:ascii="Arial" w:hAnsi="Arial"/>
      <w:color w:val="0563C1" w:themeColor="hyperlink"/>
      <w:sz w:val="20"/>
      <w:u w:val="single"/>
    </w:rPr>
  </w:style>
  <w:style w:type="paragraph" w:styleId="Bezmezer">
    <w:name w:val="No Spacing"/>
    <w:uiPriority w:val="1"/>
    <w:qFormat/>
    <w:rsid w:val="00460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3313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130"/>
    <w:rPr>
      <w:rFonts w:ascii="Arial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331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94"/>
    <w:rPr>
      <w:rFonts w:ascii="Tahoma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BB3536"/>
    <w:pPr>
      <w:ind w:left="708" w:firstLine="357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3536"/>
    <w:rPr>
      <w:rFonts w:ascii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B3536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B3536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slalnk">
    <w:name w:val="Čísla článků"/>
    <w:basedOn w:val="Normln"/>
    <w:rsid w:val="00BB3536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BB3536"/>
    <w:pPr>
      <w:spacing w:before="60" w:after="160"/>
    </w:pPr>
  </w:style>
  <w:style w:type="paragraph" w:customStyle="1" w:styleId="Default">
    <w:name w:val="Default"/>
    <w:rsid w:val="00BB35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Hottmarova</dc:creator>
  <cp:lastModifiedBy>HP</cp:lastModifiedBy>
  <cp:revision>4</cp:revision>
  <cp:lastPrinted>2020-02-19T07:28:00Z</cp:lastPrinted>
  <dcterms:created xsi:type="dcterms:W3CDTF">2019-12-09T11:30:00Z</dcterms:created>
  <dcterms:modified xsi:type="dcterms:W3CDTF">2020-02-19T07:28:00Z</dcterms:modified>
</cp:coreProperties>
</file>